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345" w:rsidRDefault="00A12127" w:rsidP="00321345">
      <w:r>
        <w:rPr>
          <w:rFonts w:cs="Times New Roman"/>
          <w:noProof/>
          <w:lang w:eastAsia="fr-FR"/>
        </w:rPr>
        <w:drawing>
          <wp:anchor distT="36576" distB="36576" distL="36576" distR="36576" simplePos="0" relativeHeight="251659264" behindDoc="0" locked="0" layoutInCell="1" allowOverlap="1" wp14:anchorId="0C633288" wp14:editId="54964BEB">
            <wp:simplePos x="0" y="0"/>
            <wp:positionH relativeFrom="column">
              <wp:posOffset>-593090</wp:posOffset>
            </wp:positionH>
            <wp:positionV relativeFrom="paragraph">
              <wp:posOffset>-619125</wp:posOffset>
            </wp:positionV>
            <wp:extent cx="1342390" cy="1157605"/>
            <wp:effectExtent l="0" t="0" r="0" b="4445"/>
            <wp:wrapNone/>
            <wp:docPr id="2" name="Image 2" descr="Logo académie - Nouvelle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cadémie - Nouvelle vers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345">
        <w:tab/>
      </w:r>
    </w:p>
    <w:p w:rsidR="00321345" w:rsidRDefault="00321345" w:rsidP="00321345">
      <w:pPr>
        <w:pStyle w:val="Sansinterligne"/>
      </w:pPr>
    </w:p>
    <w:p w:rsidR="00321345" w:rsidRDefault="00321345" w:rsidP="00321345">
      <w:pPr>
        <w:pStyle w:val="Sansinterligne"/>
      </w:pPr>
    </w:p>
    <w:p w:rsidR="00321345" w:rsidRDefault="00321345" w:rsidP="00321345">
      <w:pPr>
        <w:pStyle w:val="Sansinterligne"/>
      </w:pPr>
    </w:p>
    <w:p w:rsidR="00321345" w:rsidRDefault="00321345" w:rsidP="00321345">
      <w:pPr>
        <w:pStyle w:val="Sansinterligne"/>
      </w:pPr>
    </w:p>
    <w:p w:rsidR="00321345" w:rsidRDefault="00321345" w:rsidP="00321345">
      <w:pPr>
        <w:pStyle w:val="Sansinterligne"/>
      </w:pPr>
    </w:p>
    <w:p w:rsidR="00321345" w:rsidRPr="00A406C0" w:rsidRDefault="00321345" w:rsidP="00321345">
      <w:pPr>
        <w:pStyle w:val="Sansinterligne"/>
        <w:ind w:firstLine="0"/>
        <w:jc w:val="center"/>
        <w:rPr>
          <w:rFonts w:cs="Times New Roman"/>
          <w:b/>
        </w:rPr>
      </w:pPr>
      <w:r w:rsidRPr="00A406C0">
        <w:rPr>
          <w:rFonts w:cs="Times New Roman"/>
          <w:b/>
        </w:rPr>
        <w:t>CONVENTION</w:t>
      </w:r>
      <w:r w:rsidR="00A406C0" w:rsidRPr="00A406C0">
        <w:rPr>
          <w:rFonts w:cs="Times New Roman"/>
          <w:b/>
        </w:rPr>
        <w:t xml:space="preserve"> DE PRÊT DE MATÉRIEL MUSICAL</w:t>
      </w:r>
    </w:p>
    <w:p w:rsidR="00321345" w:rsidRPr="00ED5DED" w:rsidRDefault="00A406C0" w:rsidP="00321345">
      <w:pPr>
        <w:pStyle w:val="Sansinterligne"/>
        <w:ind w:firstLine="0"/>
        <w:jc w:val="center"/>
        <w:rPr>
          <w:b/>
          <w:color w:val="FF0000"/>
        </w:rPr>
      </w:pPr>
      <w:r>
        <w:rPr>
          <w:b/>
        </w:rPr>
        <w:t>LYCÉE DES LUMI</w:t>
      </w:r>
      <w:r>
        <w:rPr>
          <w:rFonts w:cs="Times New Roman"/>
          <w:b/>
        </w:rPr>
        <w:t>È</w:t>
      </w:r>
      <w:r>
        <w:rPr>
          <w:b/>
        </w:rPr>
        <w:t>RES</w:t>
      </w:r>
      <w:r w:rsidR="00321345" w:rsidRPr="006110FE">
        <w:rPr>
          <w:b/>
        </w:rPr>
        <w:t xml:space="preserve"> – </w:t>
      </w:r>
      <w:r w:rsidRPr="00ED5DED">
        <w:rPr>
          <w:b/>
          <w:color w:val="FF0000"/>
        </w:rPr>
        <w:t>***</w:t>
      </w:r>
      <w:r w:rsidR="00ED5562">
        <w:rPr>
          <w:b/>
          <w:color w:val="FF0000"/>
        </w:rPr>
        <w:t xml:space="preserve"> ÉTABLISSEMENT EMPRUNTEUR ***</w:t>
      </w:r>
    </w:p>
    <w:p w:rsidR="00321345" w:rsidRPr="006110FE" w:rsidRDefault="00A406C0" w:rsidP="00321345">
      <w:pPr>
        <w:pStyle w:val="Sansinterligne"/>
        <w:ind w:firstLine="0"/>
        <w:jc w:val="center"/>
        <w:rPr>
          <w:b/>
        </w:rPr>
      </w:pPr>
      <w:r>
        <w:rPr>
          <w:b/>
        </w:rPr>
        <w:t>20</w:t>
      </w:r>
      <w:r w:rsidRPr="00ED5DED">
        <w:rPr>
          <w:b/>
          <w:color w:val="FF0000"/>
        </w:rPr>
        <w:t>**</w:t>
      </w:r>
      <w:r>
        <w:rPr>
          <w:b/>
        </w:rPr>
        <w:t>/20</w:t>
      </w:r>
      <w:r w:rsidRPr="00ED5DED">
        <w:rPr>
          <w:b/>
          <w:color w:val="FF0000"/>
        </w:rPr>
        <w:t>**</w:t>
      </w:r>
    </w:p>
    <w:p w:rsidR="00321345" w:rsidRDefault="00321345" w:rsidP="00321345">
      <w:pPr>
        <w:pStyle w:val="Sansinterligne"/>
        <w:ind w:firstLine="0"/>
      </w:pPr>
    </w:p>
    <w:p w:rsidR="00321345" w:rsidRDefault="00321345" w:rsidP="00321345">
      <w:pPr>
        <w:pStyle w:val="Sansinterligne"/>
        <w:ind w:firstLine="0"/>
      </w:pPr>
    </w:p>
    <w:p w:rsidR="00321345" w:rsidRDefault="00321345" w:rsidP="00321345">
      <w:pPr>
        <w:pStyle w:val="Sansinterligne"/>
        <w:ind w:firstLine="0"/>
      </w:pPr>
    </w:p>
    <w:p w:rsidR="00321345" w:rsidRPr="00640B74" w:rsidRDefault="00321345" w:rsidP="00321345">
      <w:pPr>
        <w:pStyle w:val="Sansinterligne"/>
        <w:ind w:firstLine="0"/>
        <w:rPr>
          <w:b/>
        </w:rPr>
      </w:pPr>
      <w:r w:rsidRPr="00640B74">
        <w:rPr>
          <w:b/>
        </w:rPr>
        <w:t>Entre</w:t>
      </w:r>
    </w:p>
    <w:p w:rsidR="00321345" w:rsidRDefault="00321345" w:rsidP="00321345">
      <w:pPr>
        <w:pStyle w:val="Sansinterligne"/>
        <w:ind w:firstLine="0"/>
      </w:pPr>
    </w:p>
    <w:p w:rsidR="00321345" w:rsidRDefault="00ED5DED" w:rsidP="00321345">
      <w:pPr>
        <w:pStyle w:val="Sansinterligne"/>
        <w:ind w:firstLine="0"/>
      </w:pPr>
      <w:r>
        <w:t xml:space="preserve">Le </w:t>
      </w:r>
      <w:r w:rsidRPr="00ED5DED">
        <w:rPr>
          <w:color w:val="FF0000"/>
        </w:rPr>
        <w:t>*** nom de l’établissement emprunteur ***</w:t>
      </w:r>
      <w:r>
        <w:t xml:space="preserve">, représenté par </w:t>
      </w:r>
      <w:r w:rsidRPr="00ED5DED">
        <w:rPr>
          <w:color w:val="FF0000"/>
        </w:rPr>
        <w:t>*</w:t>
      </w:r>
      <w:r>
        <w:rPr>
          <w:color w:val="FF0000"/>
        </w:rPr>
        <w:t>*</w:t>
      </w:r>
      <w:r w:rsidRPr="00ED5DED">
        <w:rPr>
          <w:color w:val="FF0000"/>
        </w:rPr>
        <w:t>* nom du chef d’établissement ***</w:t>
      </w:r>
      <w:r>
        <w:t>, ci-après désigné comme « l’emprunteur »,</w:t>
      </w:r>
    </w:p>
    <w:p w:rsidR="00321345" w:rsidRDefault="00321345" w:rsidP="00321345">
      <w:pPr>
        <w:pStyle w:val="Sansinterligne"/>
        <w:ind w:firstLine="0"/>
      </w:pPr>
    </w:p>
    <w:p w:rsidR="00321345" w:rsidRPr="00640B74" w:rsidRDefault="00321345" w:rsidP="00321345">
      <w:pPr>
        <w:pStyle w:val="Sansinterligne"/>
        <w:ind w:firstLine="0"/>
        <w:rPr>
          <w:b/>
        </w:rPr>
      </w:pPr>
      <w:r w:rsidRPr="00640B74">
        <w:rPr>
          <w:b/>
        </w:rPr>
        <w:t>D’une part,</w:t>
      </w:r>
    </w:p>
    <w:p w:rsidR="00321345" w:rsidRDefault="00321345" w:rsidP="00321345">
      <w:pPr>
        <w:pStyle w:val="Sansinterligne"/>
        <w:ind w:firstLine="0"/>
      </w:pPr>
    </w:p>
    <w:p w:rsidR="00321345" w:rsidRDefault="00321345" w:rsidP="00321345">
      <w:pPr>
        <w:pStyle w:val="Sansinterligne"/>
        <w:ind w:firstLine="0"/>
      </w:pPr>
      <w:r>
        <w:t xml:space="preserve">Et le </w:t>
      </w:r>
      <w:r w:rsidR="00ED5DED">
        <w:t>lycée des Lumières</w:t>
      </w:r>
      <w:r>
        <w:t xml:space="preserve">, représenté par monsieur </w:t>
      </w:r>
      <w:r w:rsidR="00ED5DED">
        <w:t>Éric Keiser</w:t>
      </w:r>
      <w:r>
        <w:t xml:space="preserve">, </w:t>
      </w:r>
      <w:r w:rsidR="00ED5DED">
        <w:t>proviseur</w:t>
      </w:r>
      <w:r>
        <w:t>,</w:t>
      </w:r>
      <w:r w:rsidR="00ED5DED">
        <w:t xml:space="preserve"> ci-après désigné comme « le prêteur »,</w:t>
      </w:r>
    </w:p>
    <w:p w:rsidR="00321345" w:rsidRDefault="00321345" w:rsidP="00321345">
      <w:pPr>
        <w:pStyle w:val="Sansinterligne"/>
        <w:ind w:firstLine="0"/>
      </w:pPr>
    </w:p>
    <w:p w:rsidR="00321345" w:rsidRPr="00640B74" w:rsidRDefault="00321345" w:rsidP="00321345">
      <w:pPr>
        <w:pStyle w:val="Sansinterligne"/>
        <w:ind w:firstLine="0"/>
        <w:rPr>
          <w:b/>
        </w:rPr>
      </w:pPr>
      <w:r w:rsidRPr="00640B74">
        <w:rPr>
          <w:b/>
        </w:rPr>
        <w:t>D’autre part,</w:t>
      </w:r>
    </w:p>
    <w:p w:rsidR="00321345" w:rsidRDefault="00321345" w:rsidP="00321345">
      <w:pPr>
        <w:pStyle w:val="Sansinterligne"/>
        <w:ind w:firstLine="0"/>
      </w:pPr>
    </w:p>
    <w:p w:rsidR="00321345" w:rsidRPr="00640B74" w:rsidRDefault="00321345" w:rsidP="00321345">
      <w:pPr>
        <w:pStyle w:val="Sansinterligne"/>
        <w:ind w:firstLine="0"/>
        <w:rPr>
          <w:b/>
        </w:rPr>
      </w:pPr>
      <w:r w:rsidRPr="00640B74">
        <w:rPr>
          <w:b/>
        </w:rPr>
        <w:t>Il est convenu ce qui suit :</w:t>
      </w:r>
    </w:p>
    <w:p w:rsidR="00321345" w:rsidRDefault="00321345" w:rsidP="00321345">
      <w:pPr>
        <w:pStyle w:val="Sansinterligne"/>
        <w:ind w:firstLine="0"/>
      </w:pPr>
    </w:p>
    <w:p w:rsidR="00ED5DED" w:rsidRDefault="00ED5DED" w:rsidP="00321345">
      <w:pPr>
        <w:pStyle w:val="Sansinterligne"/>
        <w:ind w:firstLine="0"/>
      </w:pPr>
    </w:p>
    <w:p w:rsidR="00ED5DED" w:rsidRPr="00ED5DED" w:rsidRDefault="00ED5DED" w:rsidP="00321345">
      <w:pPr>
        <w:pStyle w:val="Sansinterligne"/>
        <w:ind w:firstLine="0"/>
        <w:rPr>
          <w:b/>
          <w:u w:val="single"/>
        </w:rPr>
      </w:pPr>
      <w:r>
        <w:rPr>
          <w:b/>
          <w:u w:val="single"/>
        </w:rPr>
        <w:t>Préambule</w:t>
      </w:r>
    </w:p>
    <w:p w:rsidR="00ED5DED" w:rsidRDefault="00ED5DED" w:rsidP="00321345">
      <w:pPr>
        <w:pStyle w:val="Sansinterligne"/>
        <w:ind w:firstLine="0"/>
      </w:pPr>
    </w:p>
    <w:p w:rsidR="00ED5DED" w:rsidRDefault="00ED5DED" w:rsidP="00ED5DED">
      <w:pPr>
        <w:pStyle w:val="Sansinterligne"/>
      </w:pPr>
      <w:r>
        <w:t xml:space="preserve">L’académie de Mayotte dispose d’un ensemble de matériel musical, propriété du rectorat de Mayotte, entreposé au lycée des Lumières sous la responsabilité ordinaire de son chef d’établissement. </w:t>
      </w:r>
      <w:r w:rsidRPr="00ED5DED">
        <w:t>Dans le cadre de la mutualisation des ressources pédagogiques, artistiques et culturelles, et conformément aux orientations académiques visant à favoriser l’éducation artistique et culturelle des élèves,</w:t>
      </w:r>
      <w:r>
        <w:t xml:space="preserve"> ce matériel est mis à la disposition des professeurs de l’ensemble des établissements scolaires du second degré de l’académie de Mayotte</w:t>
      </w:r>
      <w:r w:rsidRPr="00ED5DED">
        <w:t>.</w:t>
      </w:r>
    </w:p>
    <w:p w:rsidR="00ED5DED" w:rsidRDefault="00ED5DED" w:rsidP="00321345">
      <w:pPr>
        <w:pStyle w:val="Sansinterligne"/>
        <w:ind w:firstLine="0"/>
      </w:pPr>
    </w:p>
    <w:p w:rsidR="00F82053" w:rsidRDefault="00F82053" w:rsidP="00321345">
      <w:pPr>
        <w:pStyle w:val="Sansinterligne"/>
        <w:ind w:firstLine="0"/>
      </w:pPr>
    </w:p>
    <w:p w:rsidR="006835D7" w:rsidRPr="00ED5DED" w:rsidRDefault="00ED5DED" w:rsidP="00321345">
      <w:pPr>
        <w:pStyle w:val="Sansinterligne"/>
        <w:ind w:firstLine="0"/>
        <w:rPr>
          <w:b/>
          <w:u w:val="single"/>
        </w:rPr>
      </w:pPr>
      <w:r>
        <w:rPr>
          <w:b/>
          <w:u w:val="single"/>
        </w:rPr>
        <w:t>Article premier : Objet</w:t>
      </w:r>
    </w:p>
    <w:p w:rsidR="006835D7" w:rsidRDefault="006835D7" w:rsidP="00321345">
      <w:pPr>
        <w:pStyle w:val="Sansinterligne"/>
        <w:ind w:firstLine="0"/>
      </w:pPr>
    </w:p>
    <w:p w:rsidR="00ED5DED" w:rsidRDefault="00ED5DED" w:rsidP="00ED5DED">
      <w:pPr>
        <w:pStyle w:val="Sansinterligne"/>
      </w:pPr>
      <w:r>
        <w:t>L</w:t>
      </w:r>
      <w:r w:rsidRPr="00ED5DED">
        <w:t xml:space="preserve">a présente convention a pour objet de fixer les modalités de prêt </w:t>
      </w:r>
      <w:r w:rsidR="0034094E">
        <w:t xml:space="preserve">à titre gratuit </w:t>
      </w:r>
      <w:r w:rsidRPr="00ED5DED">
        <w:t xml:space="preserve">de matériel musical entre </w:t>
      </w:r>
      <w:r>
        <w:t>le prêteur et l’emprunteur</w:t>
      </w:r>
      <w:r w:rsidR="0034094E">
        <w:t xml:space="preserve"> dans le cadre d’activités pédagogiques, et notamment le transfert provisoire de responsabilité du matériel entre l’emprunteur et le prêteur.</w:t>
      </w:r>
    </w:p>
    <w:p w:rsidR="0034094E" w:rsidRDefault="0034094E" w:rsidP="0034094E">
      <w:pPr>
        <w:pStyle w:val="Sansinterligne"/>
        <w:ind w:firstLine="0"/>
      </w:pPr>
    </w:p>
    <w:p w:rsidR="00F82053" w:rsidRDefault="00F82053" w:rsidP="0034094E">
      <w:pPr>
        <w:pStyle w:val="Sansinterligne"/>
        <w:ind w:firstLine="0"/>
      </w:pPr>
    </w:p>
    <w:p w:rsidR="0034094E" w:rsidRPr="0034094E" w:rsidRDefault="0034094E" w:rsidP="0034094E">
      <w:pPr>
        <w:pStyle w:val="Sansinterligne"/>
        <w:ind w:firstLine="0"/>
        <w:rPr>
          <w:b/>
          <w:u w:val="single"/>
        </w:rPr>
      </w:pPr>
      <w:r w:rsidRPr="0034094E">
        <w:rPr>
          <w:b/>
          <w:u w:val="single"/>
        </w:rPr>
        <w:t>Article 2 : Activité pédagogique</w:t>
      </w:r>
      <w:r w:rsidR="0022078D">
        <w:rPr>
          <w:b/>
          <w:u w:val="single"/>
        </w:rPr>
        <w:t xml:space="preserve"> concernée et calendrier prévisionnel</w:t>
      </w:r>
    </w:p>
    <w:p w:rsidR="0034094E" w:rsidRDefault="0034094E" w:rsidP="0034094E">
      <w:pPr>
        <w:pStyle w:val="Sansinterligne"/>
      </w:pPr>
    </w:p>
    <w:p w:rsidR="0034094E" w:rsidRPr="0034094E" w:rsidRDefault="0034094E" w:rsidP="0034094E">
      <w:pPr>
        <w:pStyle w:val="Sansinterligne"/>
        <w:rPr>
          <w:color w:val="FF0000"/>
        </w:rPr>
      </w:pPr>
      <w:r>
        <w:t>Le prêt de matériel se fera dans le cadre de l’activité pédagogique intitulé</w:t>
      </w:r>
      <w:r w:rsidR="00ED5562">
        <w:t>e</w:t>
      </w:r>
      <w:r>
        <w:t xml:space="preserve"> « </w:t>
      </w:r>
      <w:r w:rsidRPr="0034094E">
        <w:rPr>
          <w:color w:val="FF0000"/>
        </w:rPr>
        <w:t>*** nom de l’action ***</w:t>
      </w:r>
      <w:r>
        <w:t xml:space="preserve"> ». </w:t>
      </w:r>
      <w:r w:rsidRPr="0034094E">
        <w:rPr>
          <w:color w:val="FF0000"/>
        </w:rPr>
        <w:t xml:space="preserve">*** </w:t>
      </w:r>
      <w:r w:rsidR="00ED5562">
        <w:rPr>
          <w:color w:val="FF0000"/>
        </w:rPr>
        <w:t xml:space="preserve">brève </w:t>
      </w:r>
      <w:r w:rsidRPr="0034094E">
        <w:rPr>
          <w:color w:val="FF0000"/>
        </w:rPr>
        <w:t>description de l’action ***</w:t>
      </w:r>
    </w:p>
    <w:p w:rsidR="0034094E" w:rsidRDefault="0034094E" w:rsidP="0034094E">
      <w:pPr>
        <w:pStyle w:val="Sansinterligne"/>
      </w:pPr>
    </w:p>
    <w:p w:rsidR="0034094E" w:rsidRDefault="0034094E" w:rsidP="0034094E">
      <w:pPr>
        <w:pStyle w:val="Sansinterligne"/>
      </w:pPr>
      <w:r>
        <w:lastRenderedPageBreak/>
        <w:t xml:space="preserve">Cette action concernera environ </w:t>
      </w:r>
      <w:r w:rsidRPr="0034094E">
        <w:rPr>
          <w:color w:val="FF0000"/>
        </w:rPr>
        <w:t xml:space="preserve">*** </w:t>
      </w:r>
      <w:r>
        <w:t xml:space="preserve">élèves répartis sur </w:t>
      </w:r>
      <w:r w:rsidRPr="0034094E">
        <w:rPr>
          <w:color w:val="FF0000"/>
        </w:rPr>
        <w:t xml:space="preserve">*** </w:t>
      </w:r>
      <w:r>
        <w:t xml:space="preserve">classes allant de la classe de </w:t>
      </w:r>
      <w:r w:rsidRPr="0034094E">
        <w:rPr>
          <w:color w:val="FF0000"/>
        </w:rPr>
        <w:t xml:space="preserve">*** </w:t>
      </w:r>
      <w:r>
        <w:t xml:space="preserve">à la classe de </w:t>
      </w:r>
      <w:r w:rsidRPr="0034094E">
        <w:rPr>
          <w:color w:val="FF0000"/>
        </w:rPr>
        <w:t>***</w:t>
      </w:r>
      <w:r w:rsidRPr="0034094E">
        <w:t>.</w:t>
      </w:r>
    </w:p>
    <w:p w:rsidR="0034094E" w:rsidRDefault="0034094E" w:rsidP="0034094E">
      <w:pPr>
        <w:pStyle w:val="Sansinterligne"/>
      </w:pPr>
    </w:p>
    <w:p w:rsidR="0034094E" w:rsidRDefault="0034094E" w:rsidP="0034094E">
      <w:pPr>
        <w:pStyle w:val="Sansinterligne"/>
      </w:pPr>
      <w:r>
        <w:t xml:space="preserve">Elle se déroulera du </w:t>
      </w:r>
      <w:r w:rsidRPr="0034094E">
        <w:rPr>
          <w:color w:val="FF0000"/>
        </w:rPr>
        <w:t xml:space="preserve">*** </w:t>
      </w:r>
      <w:r>
        <w:t xml:space="preserve">au </w:t>
      </w:r>
      <w:r w:rsidRPr="0034094E">
        <w:rPr>
          <w:color w:val="FF0000"/>
        </w:rPr>
        <w:t>***</w:t>
      </w:r>
      <w:r>
        <w:t>.</w:t>
      </w:r>
      <w:r w:rsidR="00703261">
        <w:t xml:space="preserve"> Le prêt est consenti sur toute la durée de l’action. Toute demande de prolongation du prêt devra faire l’objet d’un avenant accepté par les deux parties.</w:t>
      </w:r>
    </w:p>
    <w:p w:rsidR="0034094E" w:rsidRDefault="0034094E" w:rsidP="0034094E">
      <w:pPr>
        <w:pStyle w:val="Sansinterligne"/>
      </w:pPr>
    </w:p>
    <w:p w:rsidR="00F82053" w:rsidRDefault="00F82053" w:rsidP="0034094E">
      <w:pPr>
        <w:pStyle w:val="Sansinterligne"/>
      </w:pPr>
    </w:p>
    <w:p w:rsidR="0034094E" w:rsidRPr="0034094E" w:rsidRDefault="0034094E" w:rsidP="0034094E">
      <w:pPr>
        <w:pStyle w:val="Sansinterligne"/>
        <w:ind w:firstLine="0"/>
        <w:rPr>
          <w:b/>
          <w:u w:val="single"/>
        </w:rPr>
      </w:pPr>
      <w:r w:rsidRPr="0034094E">
        <w:rPr>
          <w:b/>
          <w:u w:val="single"/>
        </w:rPr>
        <w:t>Article 3 : Liste du matériel prêté</w:t>
      </w:r>
    </w:p>
    <w:p w:rsidR="00ED5DED" w:rsidRDefault="00ED5DED" w:rsidP="0034094E">
      <w:pPr>
        <w:pStyle w:val="Sansinterligne"/>
      </w:pPr>
    </w:p>
    <w:p w:rsidR="0034094E" w:rsidRDefault="0034094E" w:rsidP="0034094E">
      <w:pPr>
        <w:pStyle w:val="Sansinterligne"/>
      </w:pPr>
      <w:r>
        <w:t>La liste complète du matériel prêté par le prêteur à l’emprunteur est détaillée ici :</w:t>
      </w:r>
    </w:p>
    <w:p w:rsidR="0034094E" w:rsidRDefault="0034094E" w:rsidP="0022078D">
      <w:pPr>
        <w:pStyle w:val="Sansinterligne"/>
        <w:ind w:firstLine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8"/>
        <w:gridCol w:w="1123"/>
        <w:gridCol w:w="4931"/>
      </w:tblGrid>
      <w:tr w:rsidR="0022078D" w:rsidTr="00ED5562">
        <w:tc>
          <w:tcPr>
            <w:tcW w:w="3008" w:type="dxa"/>
          </w:tcPr>
          <w:p w:rsidR="0022078D" w:rsidRPr="0022078D" w:rsidRDefault="0022078D" w:rsidP="0022078D">
            <w:pPr>
              <w:pStyle w:val="Sansinterligne"/>
              <w:ind w:firstLine="0"/>
              <w:rPr>
                <w:b/>
              </w:rPr>
            </w:pPr>
            <w:r w:rsidRPr="0022078D">
              <w:rPr>
                <w:b/>
              </w:rPr>
              <w:t>Désignation</w:t>
            </w:r>
          </w:p>
        </w:tc>
        <w:tc>
          <w:tcPr>
            <w:tcW w:w="1123" w:type="dxa"/>
          </w:tcPr>
          <w:p w:rsidR="0022078D" w:rsidRPr="0022078D" w:rsidRDefault="0022078D" w:rsidP="0022078D">
            <w:pPr>
              <w:pStyle w:val="Sansinterligne"/>
              <w:ind w:firstLine="0"/>
              <w:rPr>
                <w:b/>
              </w:rPr>
            </w:pPr>
            <w:r w:rsidRPr="0022078D">
              <w:rPr>
                <w:b/>
              </w:rPr>
              <w:t>Quantité</w:t>
            </w:r>
          </w:p>
        </w:tc>
        <w:tc>
          <w:tcPr>
            <w:tcW w:w="4931" w:type="dxa"/>
          </w:tcPr>
          <w:p w:rsidR="0022078D" w:rsidRPr="0022078D" w:rsidRDefault="0022078D" w:rsidP="0022078D">
            <w:pPr>
              <w:pStyle w:val="Sansinterligne"/>
              <w:ind w:firstLine="0"/>
              <w:rPr>
                <w:b/>
              </w:rPr>
            </w:pPr>
            <w:r w:rsidRPr="0022078D">
              <w:rPr>
                <w:b/>
              </w:rPr>
              <w:t>État et commentaires</w:t>
            </w:r>
          </w:p>
        </w:tc>
      </w:tr>
      <w:tr w:rsidR="0022078D" w:rsidTr="00ED5562">
        <w:tc>
          <w:tcPr>
            <w:tcW w:w="3008" w:type="dxa"/>
          </w:tcPr>
          <w:p w:rsidR="0022078D" w:rsidRDefault="0022078D" w:rsidP="0022078D">
            <w:pPr>
              <w:pStyle w:val="Sansinterligne"/>
              <w:ind w:firstLine="0"/>
            </w:pPr>
          </w:p>
        </w:tc>
        <w:tc>
          <w:tcPr>
            <w:tcW w:w="1123" w:type="dxa"/>
          </w:tcPr>
          <w:p w:rsidR="0022078D" w:rsidRDefault="0022078D" w:rsidP="0022078D">
            <w:pPr>
              <w:pStyle w:val="Sansinterligne"/>
              <w:ind w:firstLine="0"/>
            </w:pPr>
          </w:p>
        </w:tc>
        <w:tc>
          <w:tcPr>
            <w:tcW w:w="4931" w:type="dxa"/>
          </w:tcPr>
          <w:p w:rsidR="0022078D" w:rsidRDefault="0022078D" w:rsidP="0022078D">
            <w:pPr>
              <w:pStyle w:val="Sansinterligne"/>
              <w:ind w:firstLine="0"/>
            </w:pPr>
          </w:p>
        </w:tc>
      </w:tr>
      <w:tr w:rsidR="0022078D" w:rsidTr="00ED5562">
        <w:tc>
          <w:tcPr>
            <w:tcW w:w="3008" w:type="dxa"/>
          </w:tcPr>
          <w:p w:rsidR="0022078D" w:rsidRDefault="0022078D" w:rsidP="0022078D">
            <w:pPr>
              <w:pStyle w:val="Sansinterligne"/>
              <w:ind w:firstLine="0"/>
            </w:pPr>
          </w:p>
        </w:tc>
        <w:tc>
          <w:tcPr>
            <w:tcW w:w="1123" w:type="dxa"/>
          </w:tcPr>
          <w:p w:rsidR="0022078D" w:rsidRDefault="0022078D" w:rsidP="0022078D">
            <w:pPr>
              <w:pStyle w:val="Sansinterligne"/>
              <w:ind w:firstLine="0"/>
            </w:pPr>
          </w:p>
        </w:tc>
        <w:tc>
          <w:tcPr>
            <w:tcW w:w="4931" w:type="dxa"/>
          </w:tcPr>
          <w:p w:rsidR="0022078D" w:rsidRDefault="0022078D" w:rsidP="0022078D">
            <w:pPr>
              <w:pStyle w:val="Sansinterligne"/>
              <w:ind w:firstLine="0"/>
            </w:pPr>
          </w:p>
        </w:tc>
      </w:tr>
      <w:tr w:rsidR="0022078D" w:rsidTr="00ED5562">
        <w:tc>
          <w:tcPr>
            <w:tcW w:w="3008" w:type="dxa"/>
          </w:tcPr>
          <w:p w:rsidR="0022078D" w:rsidRDefault="0022078D" w:rsidP="0022078D">
            <w:pPr>
              <w:pStyle w:val="Sansinterligne"/>
              <w:ind w:firstLine="0"/>
            </w:pPr>
          </w:p>
        </w:tc>
        <w:tc>
          <w:tcPr>
            <w:tcW w:w="1123" w:type="dxa"/>
          </w:tcPr>
          <w:p w:rsidR="0022078D" w:rsidRDefault="0022078D" w:rsidP="0022078D">
            <w:pPr>
              <w:pStyle w:val="Sansinterligne"/>
              <w:ind w:firstLine="0"/>
            </w:pPr>
          </w:p>
        </w:tc>
        <w:tc>
          <w:tcPr>
            <w:tcW w:w="4931" w:type="dxa"/>
          </w:tcPr>
          <w:p w:rsidR="0022078D" w:rsidRDefault="0022078D" w:rsidP="0022078D">
            <w:pPr>
              <w:pStyle w:val="Sansinterligne"/>
              <w:ind w:firstLine="0"/>
            </w:pPr>
          </w:p>
        </w:tc>
      </w:tr>
      <w:tr w:rsidR="00F82053" w:rsidTr="00ED5562">
        <w:tc>
          <w:tcPr>
            <w:tcW w:w="3008" w:type="dxa"/>
          </w:tcPr>
          <w:p w:rsidR="00F82053" w:rsidRDefault="00F82053" w:rsidP="0022078D">
            <w:pPr>
              <w:pStyle w:val="Sansinterligne"/>
              <w:ind w:firstLine="0"/>
            </w:pPr>
          </w:p>
        </w:tc>
        <w:tc>
          <w:tcPr>
            <w:tcW w:w="1123" w:type="dxa"/>
          </w:tcPr>
          <w:p w:rsidR="00F82053" w:rsidRDefault="00F82053" w:rsidP="0022078D">
            <w:pPr>
              <w:pStyle w:val="Sansinterligne"/>
              <w:ind w:firstLine="0"/>
            </w:pPr>
          </w:p>
        </w:tc>
        <w:tc>
          <w:tcPr>
            <w:tcW w:w="4931" w:type="dxa"/>
          </w:tcPr>
          <w:p w:rsidR="00F82053" w:rsidRDefault="00F82053" w:rsidP="0022078D">
            <w:pPr>
              <w:pStyle w:val="Sansinterligne"/>
              <w:ind w:firstLine="0"/>
            </w:pPr>
          </w:p>
        </w:tc>
      </w:tr>
      <w:tr w:rsidR="0022078D" w:rsidTr="00ED5562">
        <w:tc>
          <w:tcPr>
            <w:tcW w:w="3008" w:type="dxa"/>
          </w:tcPr>
          <w:p w:rsidR="00F82053" w:rsidRDefault="00F82053" w:rsidP="0022078D">
            <w:pPr>
              <w:pStyle w:val="Sansinterligne"/>
              <w:ind w:firstLine="0"/>
            </w:pPr>
          </w:p>
        </w:tc>
        <w:tc>
          <w:tcPr>
            <w:tcW w:w="1123" w:type="dxa"/>
          </w:tcPr>
          <w:p w:rsidR="0022078D" w:rsidRDefault="0022078D" w:rsidP="0022078D">
            <w:pPr>
              <w:pStyle w:val="Sansinterligne"/>
              <w:ind w:firstLine="0"/>
            </w:pPr>
          </w:p>
        </w:tc>
        <w:tc>
          <w:tcPr>
            <w:tcW w:w="4931" w:type="dxa"/>
          </w:tcPr>
          <w:p w:rsidR="0022078D" w:rsidRDefault="0022078D" w:rsidP="0022078D">
            <w:pPr>
              <w:pStyle w:val="Sansinterligne"/>
              <w:ind w:firstLine="0"/>
            </w:pPr>
          </w:p>
        </w:tc>
      </w:tr>
      <w:tr w:rsidR="00F82053" w:rsidTr="00ED5562">
        <w:tc>
          <w:tcPr>
            <w:tcW w:w="3008" w:type="dxa"/>
          </w:tcPr>
          <w:p w:rsidR="00F82053" w:rsidRDefault="00F82053" w:rsidP="0022078D">
            <w:pPr>
              <w:pStyle w:val="Sansinterligne"/>
              <w:ind w:firstLine="0"/>
            </w:pPr>
          </w:p>
        </w:tc>
        <w:tc>
          <w:tcPr>
            <w:tcW w:w="1123" w:type="dxa"/>
          </w:tcPr>
          <w:p w:rsidR="00F82053" w:rsidRDefault="00F82053" w:rsidP="0022078D">
            <w:pPr>
              <w:pStyle w:val="Sansinterligne"/>
              <w:ind w:firstLine="0"/>
            </w:pPr>
          </w:p>
        </w:tc>
        <w:tc>
          <w:tcPr>
            <w:tcW w:w="4931" w:type="dxa"/>
          </w:tcPr>
          <w:p w:rsidR="00F82053" w:rsidRDefault="00F82053" w:rsidP="0022078D">
            <w:pPr>
              <w:pStyle w:val="Sansinterligne"/>
              <w:ind w:firstLine="0"/>
            </w:pPr>
          </w:p>
        </w:tc>
      </w:tr>
      <w:tr w:rsidR="00F82053" w:rsidTr="00ED5562">
        <w:tc>
          <w:tcPr>
            <w:tcW w:w="3008" w:type="dxa"/>
          </w:tcPr>
          <w:p w:rsidR="00F82053" w:rsidRDefault="00F82053" w:rsidP="0022078D">
            <w:pPr>
              <w:pStyle w:val="Sansinterligne"/>
              <w:ind w:firstLine="0"/>
            </w:pPr>
          </w:p>
        </w:tc>
        <w:tc>
          <w:tcPr>
            <w:tcW w:w="1123" w:type="dxa"/>
          </w:tcPr>
          <w:p w:rsidR="00F82053" w:rsidRDefault="00F82053" w:rsidP="0022078D">
            <w:pPr>
              <w:pStyle w:val="Sansinterligne"/>
              <w:ind w:firstLine="0"/>
            </w:pPr>
          </w:p>
        </w:tc>
        <w:tc>
          <w:tcPr>
            <w:tcW w:w="4931" w:type="dxa"/>
          </w:tcPr>
          <w:p w:rsidR="00F82053" w:rsidRDefault="00F82053" w:rsidP="0022078D">
            <w:pPr>
              <w:pStyle w:val="Sansinterligne"/>
              <w:ind w:firstLine="0"/>
            </w:pPr>
          </w:p>
        </w:tc>
      </w:tr>
      <w:tr w:rsidR="00F82053" w:rsidTr="00ED5562">
        <w:tc>
          <w:tcPr>
            <w:tcW w:w="3008" w:type="dxa"/>
          </w:tcPr>
          <w:p w:rsidR="00F82053" w:rsidRDefault="00F82053" w:rsidP="0022078D">
            <w:pPr>
              <w:pStyle w:val="Sansinterligne"/>
              <w:ind w:firstLine="0"/>
            </w:pPr>
          </w:p>
        </w:tc>
        <w:tc>
          <w:tcPr>
            <w:tcW w:w="1123" w:type="dxa"/>
          </w:tcPr>
          <w:p w:rsidR="00F82053" w:rsidRDefault="00F82053" w:rsidP="0022078D">
            <w:pPr>
              <w:pStyle w:val="Sansinterligne"/>
              <w:ind w:firstLine="0"/>
            </w:pPr>
          </w:p>
        </w:tc>
        <w:tc>
          <w:tcPr>
            <w:tcW w:w="4931" w:type="dxa"/>
          </w:tcPr>
          <w:p w:rsidR="00F82053" w:rsidRDefault="00F82053" w:rsidP="0022078D">
            <w:pPr>
              <w:pStyle w:val="Sansinterligne"/>
              <w:ind w:firstLine="0"/>
            </w:pPr>
          </w:p>
        </w:tc>
      </w:tr>
      <w:tr w:rsidR="0022078D" w:rsidTr="00ED5562">
        <w:tc>
          <w:tcPr>
            <w:tcW w:w="3008" w:type="dxa"/>
          </w:tcPr>
          <w:p w:rsidR="0022078D" w:rsidRDefault="0022078D" w:rsidP="0022078D">
            <w:pPr>
              <w:pStyle w:val="Sansinterligne"/>
              <w:ind w:firstLine="0"/>
            </w:pPr>
          </w:p>
        </w:tc>
        <w:tc>
          <w:tcPr>
            <w:tcW w:w="1123" w:type="dxa"/>
          </w:tcPr>
          <w:p w:rsidR="0022078D" w:rsidRDefault="0022078D" w:rsidP="0022078D">
            <w:pPr>
              <w:pStyle w:val="Sansinterligne"/>
              <w:ind w:firstLine="0"/>
            </w:pPr>
          </w:p>
        </w:tc>
        <w:tc>
          <w:tcPr>
            <w:tcW w:w="4931" w:type="dxa"/>
          </w:tcPr>
          <w:p w:rsidR="0022078D" w:rsidRDefault="0022078D" w:rsidP="0022078D">
            <w:pPr>
              <w:pStyle w:val="Sansinterligne"/>
              <w:ind w:firstLine="0"/>
            </w:pPr>
          </w:p>
        </w:tc>
      </w:tr>
    </w:tbl>
    <w:p w:rsidR="0022078D" w:rsidRDefault="0022078D" w:rsidP="0022078D">
      <w:pPr>
        <w:pStyle w:val="Sansinterligne"/>
        <w:ind w:firstLine="0"/>
      </w:pPr>
    </w:p>
    <w:p w:rsidR="00F82053" w:rsidRDefault="00F82053" w:rsidP="0022078D">
      <w:pPr>
        <w:pStyle w:val="Sansinterligne"/>
        <w:ind w:firstLine="0"/>
      </w:pPr>
    </w:p>
    <w:p w:rsidR="0034094E" w:rsidRPr="0034094E" w:rsidRDefault="0034094E" w:rsidP="0034094E">
      <w:pPr>
        <w:pStyle w:val="Sansinterligne"/>
        <w:ind w:firstLine="0"/>
        <w:rPr>
          <w:b/>
          <w:u w:val="single"/>
        </w:rPr>
      </w:pPr>
      <w:r w:rsidRPr="0034094E">
        <w:rPr>
          <w:b/>
          <w:u w:val="single"/>
        </w:rPr>
        <w:t xml:space="preserve">Article 4 : </w:t>
      </w:r>
      <w:r w:rsidR="00703261">
        <w:rPr>
          <w:b/>
          <w:u w:val="single"/>
        </w:rPr>
        <w:t xml:space="preserve">Conditions </w:t>
      </w:r>
      <w:r w:rsidR="00F82053">
        <w:rPr>
          <w:b/>
          <w:u w:val="single"/>
        </w:rPr>
        <w:t xml:space="preserve">de prêt et </w:t>
      </w:r>
      <w:r w:rsidR="00703261">
        <w:rPr>
          <w:b/>
          <w:u w:val="single"/>
        </w:rPr>
        <w:t>d’utilisation</w:t>
      </w:r>
    </w:p>
    <w:p w:rsidR="0034094E" w:rsidRDefault="0034094E" w:rsidP="0034094E">
      <w:pPr>
        <w:pStyle w:val="Sansinterligne"/>
      </w:pPr>
    </w:p>
    <w:p w:rsidR="0022078D" w:rsidRDefault="00703261" w:rsidP="0022078D">
      <w:pPr>
        <w:pStyle w:val="Sansinterligne"/>
      </w:pPr>
      <w:r>
        <w:t>Le matériel listé à l’article 3 de la présente convention est prêté exclusivement dans le cadre scolaire</w:t>
      </w:r>
      <w:r w:rsidR="00ED5562">
        <w:t>, et plus précisément en vue de la réalisation</w:t>
      </w:r>
      <w:r>
        <w:t xml:space="preserve"> de l’action décrite à l’article 2 de la présente convention.</w:t>
      </w:r>
    </w:p>
    <w:p w:rsidR="00F82053" w:rsidRDefault="00F82053" w:rsidP="0022078D">
      <w:pPr>
        <w:pStyle w:val="Sansinterligne"/>
      </w:pPr>
    </w:p>
    <w:p w:rsidR="00F82053" w:rsidRDefault="00F82053" w:rsidP="0022078D">
      <w:pPr>
        <w:pStyle w:val="Sansinterligne"/>
      </w:pPr>
      <w:r>
        <w:t>Il revient à l’établissement emprunteur d’organiser le transport de l’ensemble du matériel emprunté depuis le lycée des Lumières, puis, à l’issue de la période de prêt, son retour dans ce même lycée.</w:t>
      </w:r>
    </w:p>
    <w:p w:rsidR="0022078D" w:rsidRDefault="0022078D" w:rsidP="0022078D">
      <w:pPr>
        <w:pStyle w:val="Sansinterligne"/>
      </w:pPr>
    </w:p>
    <w:p w:rsidR="00ED5562" w:rsidRDefault="00703261" w:rsidP="0022078D">
      <w:pPr>
        <w:pStyle w:val="Sansinterligne"/>
      </w:pPr>
      <w:r>
        <w:t>Le matériel prêté par le prêteur à l’emprunteur ne doit en aucune circonstance être laissé sans surveillance ; en particulier, il ne doit pas être prêté par l’emprunteur aux élèves pour être emporté hors de l’établissement emprunteur.</w:t>
      </w:r>
    </w:p>
    <w:p w:rsidR="00ED5562" w:rsidRDefault="00ED5562" w:rsidP="0022078D">
      <w:pPr>
        <w:pStyle w:val="Sansinterligne"/>
      </w:pPr>
    </w:p>
    <w:p w:rsidR="0022078D" w:rsidRDefault="00703261" w:rsidP="0022078D">
      <w:pPr>
        <w:pStyle w:val="Sansinterligne"/>
      </w:pPr>
      <w:r>
        <w:t>De manière générale, le matériel emprunté ne peut être ni prêté, ni sous-loué à un tiers par l’emprunteur.</w:t>
      </w:r>
    </w:p>
    <w:p w:rsidR="0022078D" w:rsidRDefault="0022078D" w:rsidP="0022078D">
      <w:pPr>
        <w:pStyle w:val="Sansinterligne"/>
        <w:ind w:firstLine="0"/>
      </w:pPr>
    </w:p>
    <w:p w:rsidR="00F82053" w:rsidRDefault="00F82053" w:rsidP="0022078D">
      <w:pPr>
        <w:pStyle w:val="Sansinterligne"/>
        <w:ind w:firstLine="0"/>
      </w:pPr>
    </w:p>
    <w:p w:rsidR="0022078D" w:rsidRPr="0022078D" w:rsidRDefault="0022078D" w:rsidP="0022078D">
      <w:pPr>
        <w:pStyle w:val="Sansinterligne"/>
        <w:ind w:firstLine="0"/>
        <w:rPr>
          <w:b/>
          <w:u w:val="single"/>
        </w:rPr>
      </w:pPr>
      <w:r w:rsidRPr="0022078D">
        <w:rPr>
          <w:b/>
          <w:u w:val="single"/>
        </w:rPr>
        <w:t>Article 5 : Responsabilité, pertes et dégradations</w:t>
      </w:r>
    </w:p>
    <w:p w:rsidR="00703261" w:rsidRDefault="00703261" w:rsidP="0034094E">
      <w:pPr>
        <w:pStyle w:val="Sansinterligne"/>
      </w:pPr>
    </w:p>
    <w:p w:rsidR="0034094E" w:rsidRDefault="0034094E" w:rsidP="0034094E">
      <w:pPr>
        <w:pStyle w:val="Sansinterligne"/>
      </w:pPr>
      <w:r>
        <w:t>Pendant toute la durée du prêt, l’ensemble du matériel listé à l’article 3 de la présente convention passera sous la responsabilité exclusive de l’emprunteur.</w:t>
      </w:r>
      <w:r w:rsidR="00703261">
        <w:t xml:space="preserve"> L’établissement emprunteur désigne </w:t>
      </w:r>
      <w:r w:rsidR="00703261" w:rsidRPr="00703261">
        <w:rPr>
          <w:color w:val="FF0000"/>
        </w:rPr>
        <w:t>*** nom du responsable ***</w:t>
      </w:r>
      <w:r w:rsidR="00703261">
        <w:t xml:space="preserve">, </w:t>
      </w:r>
      <w:r w:rsidR="00703261" w:rsidRPr="00703261">
        <w:rPr>
          <w:color w:val="FF0000"/>
        </w:rPr>
        <w:t>*** fonction du responsable ***</w:t>
      </w:r>
      <w:r w:rsidR="00703261">
        <w:t xml:space="preserve"> au sein de l’établissement, comme responsable du suivi et de la conservation du matériel pendant la durée du prêt.</w:t>
      </w:r>
    </w:p>
    <w:p w:rsidR="0022078D" w:rsidRDefault="0022078D" w:rsidP="0034094E">
      <w:pPr>
        <w:pStyle w:val="Sansinterligne"/>
      </w:pPr>
    </w:p>
    <w:p w:rsidR="0022078D" w:rsidRDefault="0022078D" w:rsidP="0034094E">
      <w:pPr>
        <w:pStyle w:val="Sansinterligne"/>
      </w:pPr>
      <w:r>
        <w:lastRenderedPageBreak/>
        <w:t>Le matériel demeure la propriété exclusive du rectorat de Mayotte. L’emprunteur en assure la garde et la sécurité pendant toute la durée du prêt.</w:t>
      </w:r>
    </w:p>
    <w:p w:rsidR="0022078D" w:rsidRDefault="0022078D" w:rsidP="0034094E">
      <w:pPr>
        <w:pStyle w:val="Sansinterligne"/>
      </w:pPr>
    </w:p>
    <w:p w:rsidR="0022078D" w:rsidRDefault="0022078D" w:rsidP="0022078D">
      <w:pPr>
        <w:pStyle w:val="Sansinterligne"/>
      </w:pPr>
      <w:r>
        <w:t>En cas de perte, de vol ou de dégradation autre que l’usure normale liée à l’usage ordinaire du matériel prêté, l’établissement emprunteur s’engage à prendre en charge financièrement le remplacement ou les réparations des pièces perdues, volées ou dégradées du matériel emprunté, ainsi qu’à signaler sans délai tout incident de cet ordre au prêteur.</w:t>
      </w:r>
    </w:p>
    <w:p w:rsidR="0022078D" w:rsidRDefault="0022078D" w:rsidP="0022078D">
      <w:pPr>
        <w:pStyle w:val="Sansinterligne"/>
        <w:ind w:firstLine="0"/>
      </w:pPr>
    </w:p>
    <w:p w:rsidR="00F82053" w:rsidRDefault="00F82053" w:rsidP="0022078D">
      <w:pPr>
        <w:pStyle w:val="Sansinterligne"/>
        <w:ind w:firstLine="0"/>
      </w:pPr>
    </w:p>
    <w:p w:rsidR="0022078D" w:rsidRPr="0022078D" w:rsidRDefault="0022078D" w:rsidP="0022078D">
      <w:pPr>
        <w:pStyle w:val="Sansinterligne"/>
        <w:ind w:firstLine="0"/>
        <w:rPr>
          <w:b/>
          <w:u w:val="single"/>
        </w:rPr>
      </w:pPr>
      <w:r w:rsidRPr="0022078D">
        <w:rPr>
          <w:b/>
          <w:u w:val="single"/>
        </w:rPr>
        <w:t>Article 6 : Restitution</w:t>
      </w:r>
    </w:p>
    <w:p w:rsidR="0022078D" w:rsidRDefault="0022078D" w:rsidP="0022078D">
      <w:pPr>
        <w:pStyle w:val="Sansinterligne"/>
      </w:pPr>
    </w:p>
    <w:p w:rsidR="00ED5562" w:rsidRDefault="0022078D" w:rsidP="0022078D">
      <w:pPr>
        <w:pStyle w:val="Sansinterligne"/>
      </w:pPr>
      <w:r>
        <w:rPr>
          <w:rFonts w:cs="Times New Roman"/>
        </w:rPr>
        <w:t>À</w:t>
      </w:r>
      <w:r>
        <w:t xml:space="preserve"> l’issue de la période de prêt, le matériel devra être restitué au prêteur dans l’état constaté lors de l’inventaire initial tel qu’indiqué dans le tableau de l’article 3 de la présente convention, sauf usure normale liée à l’usage ordinaire du matériel.</w:t>
      </w:r>
      <w:r w:rsidR="00ED5562">
        <w:t xml:space="preserve"> Un inventaire contradictoire de restitution sera établi.</w:t>
      </w:r>
    </w:p>
    <w:p w:rsidR="0034094E" w:rsidRDefault="0034094E" w:rsidP="0022078D">
      <w:pPr>
        <w:pStyle w:val="Sansinterligne"/>
      </w:pPr>
    </w:p>
    <w:p w:rsidR="00F82053" w:rsidRDefault="00F82053" w:rsidP="0022078D">
      <w:pPr>
        <w:pStyle w:val="Sansinterligne"/>
      </w:pPr>
      <w:bookmarkStart w:id="0" w:name="_GoBack"/>
      <w:bookmarkEnd w:id="0"/>
    </w:p>
    <w:p w:rsidR="006835D7" w:rsidRPr="00FF41D1" w:rsidRDefault="006835D7" w:rsidP="006835D7">
      <w:pPr>
        <w:pStyle w:val="Sansinterligne"/>
        <w:ind w:firstLine="0"/>
        <w:rPr>
          <w:b/>
          <w:u w:val="single"/>
        </w:rPr>
      </w:pPr>
      <w:r w:rsidRPr="00FF41D1">
        <w:rPr>
          <w:b/>
          <w:u w:val="single"/>
        </w:rPr>
        <w:t xml:space="preserve">Article </w:t>
      </w:r>
      <w:r w:rsidR="00ED5562">
        <w:rPr>
          <w:b/>
          <w:u w:val="single"/>
        </w:rPr>
        <w:t>7</w:t>
      </w:r>
      <w:r w:rsidRPr="00FF41D1">
        <w:rPr>
          <w:b/>
          <w:u w:val="single"/>
        </w:rPr>
        <w:t> : Litige</w:t>
      </w:r>
    </w:p>
    <w:p w:rsidR="006835D7" w:rsidRDefault="006835D7" w:rsidP="006835D7">
      <w:pPr>
        <w:pStyle w:val="Sansinterligne"/>
        <w:ind w:firstLine="0"/>
      </w:pPr>
    </w:p>
    <w:p w:rsidR="006835D7" w:rsidRDefault="006835D7" w:rsidP="00ED5562">
      <w:pPr>
        <w:pStyle w:val="Sansinterligne"/>
      </w:pPr>
      <w:r>
        <w:t>La présente convention de partenariat est régie par le droit public français.</w:t>
      </w:r>
    </w:p>
    <w:p w:rsidR="006835D7" w:rsidRDefault="006835D7" w:rsidP="00ED5562">
      <w:pPr>
        <w:pStyle w:val="Sansinterligne"/>
      </w:pPr>
    </w:p>
    <w:p w:rsidR="006835D7" w:rsidRDefault="006835D7" w:rsidP="00ED5562">
      <w:pPr>
        <w:pStyle w:val="Sansinterligne"/>
      </w:pPr>
      <w:r>
        <w:t>En cas de litige résultant de cette convention, les parties présentes s’engagent à essayer de trouver une solution amiable, notamment auprès du médiateur du Ministère de l’Éducation nationale :</w:t>
      </w:r>
    </w:p>
    <w:p w:rsidR="006835D7" w:rsidRDefault="006835D7" w:rsidP="00ED5562">
      <w:pPr>
        <w:pStyle w:val="Sansinterligne"/>
      </w:pPr>
      <w:r>
        <w:t>Carré Suffren</w:t>
      </w:r>
    </w:p>
    <w:p w:rsidR="006835D7" w:rsidRDefault="006835D7" w:rsidP="00ED5562">
      <w:pPr>
        <w:pStyle w:val="Sansinterligne"/>
      </w:pPr>
      <w:r>
        <w:t>110, rue de Grenelle</w:t>
      </w:r>
    </w:p>
    <w:p w:rsidR="006835D7" w:rsidRDefault="006835D7" w:rsidP="00ED5562">
      <w:pPr>
        <w:pStyle w:val="Sansinterligne"/>
      </w:pPr>
      <w:r>
        <w:t>75 357 Paris cedex 07 SP</w:t>
      </w:r>
    </w:p>
    <w:p w:rsidR="006835D7" w:rsidRDefault="00F82053" w:rsidP="00ED5562">
      <w:pPr>
        <w:pStyle w:val="Sansinterligne"/>
      </w:pPr>
      <w:hyperlink r:id="rId5" w:history="1">
        <w:r w:rsidR="006835D7" w:rsidRPr="00FA756C">
          <w:rPr>
            <w:rStyle w:val="Lienhypertexte"/>
          </w:rPr>
          <w:t>mediateur@education.gouv.fr</w:t>
        </w:r>
      </w:hyperlink>
    </w:p>
    <w:p w:rsidR="006835D7" w:rsidRDefault="006835D7" w:rsidP="00ED5562">
      <w:pPr>
        <w:pStyle w:val="Sansinterligne"/>
      </w:pPr>
    </w:p>
    <w:p w:rsidR="006835D7" w:rsidRDefault="006835D7" w:rsidP="00ED5562">
      <w:pPr>
        <w:pStyle w:val="Sansinterligne"/>
      </w:pPr>
      <w:r>
        <w:rPr>
          <w:rFonts w:cs="Times New Roman"/>
        </w:rPr>
        <w:t>À</w:t>
      </w:r>
      <w:r>
        <w:t xml:space="preserve"> défaut de résolution amiable entre les parties, la juridiction compétente sera le Tribunal administratif de Mamoudzou.</w:t>
      </w:r>
    </w:p>
    <w:p w:rsidR="006835D7" w:rsidRDefault="006835D7" w:rsidP="00ED5562">
      <w:pPr>
        <w:pStyle w:val="Sansinterligne"/>
      </w:pPr>
    </w:p>
    <w:p w:rsidR="006835D7" w:rsidRPr="00FF41D1" w:rsidRDefault="006835D7" w:rsidP="00ED5562">
      <w:pPr>
        <w:pStyle w:val="Sansinterligne"/>
        <w:rPr>
          <w:b/>
          <w:i/>
        </w:rPr>
      </w:pPr>
      <w:r w:rsidRPr="00FF41D1">
        <w:rPr>
          <w:b/>
          <w:i/>
        </w:rPr>
        <w:t xml:space="preserve">Voies </w:t>
      </w:r>
      <w:r>
        <w:rPr>
          <w:b/>
          <w:i/>
        </w:rPr>
        <w:t xml:space="preserve">et délais </w:t>
      </w:r>
      <w:r w:rsidRPr="00FF41D1">
        <w:rPr>
          <w:b/>
          <w:i/>
        </w:rPr>
        <w:t>de recours :</w:t>
      </w:r>
    </w:p>
    <w:p w:rsidR="006835D7" w:rsidRDefault="006835D7" w:rsidP="00ED5562">
      <w:pPr>
        <w:pStyle w:val="Sansinterligne"/>
      </w:pPr>
    </w:p>
    <w:p w:rsidR="006835D7" w:rsidRDefault="006835D7" w:rsidP="00ED5562">
      <w:pPr>
        <w:pStyle w:val="Sansinterligne"/>
      </w:pPr>
      <w:r>
        <w:t>Si vous estimez devoir contester cette convention de droit public ou son application, vous pouvez former un recours contentieux devant le tribunal administratif territorialement compétent :</w:t>
      </w:r>
    </w:p>
    <w:p w:rsidR="006835D7" w:rsidRDefault="006835D7" w:rsidP="00ED5562">
      <w:pPr>
        <w:pStyle w:val="Sansinterligne"/>
      </w:pPr>
      <w:r>
        <w:t>Monsieur le président du Tribunal administratif de Mayotte</w:t>
      </w:r>
    </w:p>
    <w:p w:rsidR="006835D7" w:rsidRDefault="006835D7" w:rsidP="00ED5562">
      <w:pPr>
        <w:pStyle w:val="Sansinterligne"/>
      </w:pPr>
      <w:r>
        <w:t>Les Hauts du jardin du collège</w:t>
      </w:r>
    </w:p>
    <w:p w:rsidR="006835D7" w:rsidRDefault="006835D7" w:rsidP="00ED5562">
      <w:pPr>
        <w:pStyle w:val="Sansinterligne"/>
      </w:pPr>
      <w:r>
        <w:t>97600 Mamoudzou</w:t>
      </w:r>
    </w:p>
    <w:p w:rsidR="006835D7" w:rsidRDefault="006835D7" w:rsidP="00ED5562">
      <w:pPr>
        <w:pStyle w:val="Sansinterligne"/>
      </w:pPr>
      <w:r>
        <w:t>Téléphone : 02 69 61 18 56</w:t>
      </w:r>
    </w:p>
    <w:p w:rsidR="006835D7" w:rsidRDefault="006835D7" w:rsidP="00ED5562">
      <w:pPr>
        <w:pStyle w:val="Sansinterligne"/>
      </w:pPr>
      <w:r>
        <w:t xml:space="preserve">Courriel : </w:t>
      </w:r>
      <w:hyperlink r:id="rId6" w:history="1">
        <w:r w:rsidRPr="00FA756C">
          <w:rPr>
            <w:rStyle w:val="Lienhypertexte"/>
          </w:rPr>
          <w:t>greffe.ta-mayotte@juradm.fr</w:t>
        </w:r>
      </w:hyperlink>
    </w:p>
    <w:p w:rsidR="006835D7" w:rsidRDefault="006835D7" w:rsidP="00ED5562">
      <w:pPr>
        <w:pStyle w:val="Sansinterligne"/>
      </w:pPr>
      <w:proofErr w:type="gramStart"/>
      <w:r>
        <w:t>ou</w:t>
      </w:r>
      <w:proofErr w:type="gramEnd"/>
      <w:r>
        <w:t xml:space="preserve"> par téléservice en application du décret n° 2018-251 du 6 avril 2018.</w:t>
      </w:r>
    </w:p>
    <w:p w:rsidR="006835D7" w:rsidRDefault="006835D7" w:rsidP="00ED5562">
      <w:pPr>
        <w:pStyle w:val="Sansinterligne"/>
      </w:pPr>
    </w:p>
    <w:p w:rsidR="006835D7" w:rsidRDefault="006835D7" w:rsidP="00ED5562">
      <w:pPr>
        <w:pStyle w:val="Sansinterligne"/>
      </w:pPr>
      <w:r>
        <w:t>Le recours contentieux doit intervenir dans un délai de deux mois suivant le constat de non conciliation établi par le médiateur.</w:t>
      </w:r>
    </w:p>
    <w:p w:rsidR="006835D7" w:rsidRDefault="006835D7" w:rsidP="00ED5562">
      <w:pPr>
        <w:pStyle w:val="Sansinterligne"/>
      </w:pPr>
      <w:r>
        <w:t>Le décret n° 2016-1481 relatif à l’utilisation des téléprocédures devant les juridictions administratives rend l’usage de l’application obligatoire à compter du 1</w:t>
      </w:r>
      <w:r w:rsidRPr="003B35B1">
        <w:rPr>
          <w:vertAlign w:val="superscript"/>
        </w:rPr>
        <w:t>er</w:t>
      </w:r>
      <w:r>
        <w:t xml:space="preserve"> janvier 2017 pour tous les acteurs éligibles.</w:t>
      </w:r>
    </w:p>
    <w:p w:rsidR="006835D7" w:rsidRDefault="006835D7" w:rsidP="00ED5562">
      <w:pPr>
        <w:pStyle w:val="Sansinterligne"/>
      </w:pPr>
    </w:p>
    <w:p w:rsidR="006835D7" w:rsidRDefault="006835D7" w:rsidP="00ED5562"/>
    <w:p w:rsidR="006835D7" w:rsidRDefault="006835D7" w:rsidP="00ED5562">
      <w:pPr>
        <w:pStyle w:val="Sansinterligne"/>
      </w:pPr>
      <w:r>
        <w:t xml:space="preserve">La présente convention comporte </w:t>
      </w:r>
      <w:r w:rsidR="00ED5562" w:rsidRPr="00ED5562">
        <w:rPr>
          <w:color w:val="FF0000"/>
        </w:rPr>
        <w:t>***</w:t>
      </w:r>
      <w:r w:rsidRPr="00ED5562">
        <w:rPr>
          <w:color w:val="FF0000"/>
        </w:rPr>
        <w:t xml:space="preserve"> </w:t>
      </w:r>
      <w:r>
        <w:t>pages</w:t>
      </w:r>
      <w:r w:rsidR="00ED5562">
        <w:t xml:space="preserve"> et 7 articles</w:t>
      </w:r>
      <w:r>
        <w:t xml:space="preserve"> ; elle est établie en </w:t>
      </w:r>
      <w:r w:rsidR="00ED5562">
        <w:t>2</w:t>
      </w:r>
      <w:r>
        <w:t xml:space="preserve"> exemplaires originaux, un pour chaque partie signataire.</w:t>
      </w:r>
    </w:p>
    <w:p w:rsidR="006835D7" w:rsidRDefault="006835D7" w:rsidP="006835D7">
      <w:pPr>
        <w:pStyle w:val="Sansinterligne"/>
        <w:ind w:firstLine="0"/>
      </w:pPr>
    </w:p>
    <w:p w:rsidR="006835D7" w:rsidRDefault="006835D7" w:rsidP="006835D7">
      <w:pPr>
        <w:pStyle w:val="Sansinterligne"/>
        <w:ind w:firstLine="0"/>
      </w:pPr>
      <w:r>
        <w:t>Fait à Mamoudzou, le</w:t>
      </w:r>
    </w:p>
    <w:p w:rsidR="006835D7" w:rsidRDefault="006835D7" w:rsidP="006835D7">
      <w:pPr>
        <w:pStyle w:val="Sansinterligne"/>
        <w:ind w:firstLine="0"/>
      </w:pPr>
    </w:p>
    <w:p w:rsidR="006835D7" w:rsidRDefault="006835D7" w:rsidP="006835D7">
      <w:pPr>
        <w:pStyle w:val="Sansinterligne"/>
        <w:ind w:firstLine="0"/>
      </w:pPr>
    </w:p>
    <w:p w:rsidR="006835D7" w:rsidRDefault="006835D7" w:rsidP="006835D7">
      <w:pPr>
        <w:pStyle w:val="Sansinterligne"/>
        <w:ind w:firstLine="0"/>
      </w:pPr>
      <w:r>
        <w:t>Pour ***,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Pour le </w:t>
      </w:r>
      <w:r w:rsidR="00ED5562">
        <w:t>lycée des Lumières</w:t>
      </w:r>
      <w:r>
        <w:t>,</w:t>
      </w:r>
    </w:p>
    <w:p w:rsidR="006835D7" w:rsidRDefault="006835D7" w:rsidP="006835D7">
      <w:pPr>
        <w:pStyle w:val="Sansinterligne"/>
        <w:ind w:firstLine="0"/>
      </w:pPr>
    </w:p>
    <w:p w:rsidR="006835D7" w:rsidRDefault="006835D7" w:rsidP="006835D7">
      <w:pPr>
        <w:pStyle w:val="Sansinterligne"/>
        <w:ind w:firstLine="0"/>
      </w:pPr>
    </w:p>
    <w:p w:rsidR="006835D7" w:rsidRDefault="006835D7" w:rsidP="006835D7">
      <w:pPr>
        <w:pStyle w:val="Sansinterligne"/>
        <w:ind w:firstLine="0"/>
      </w:pPr>
    </w:p>
    <w:p w:rsidR="006835D7" w:rsidRDefault="006835D7" w:rsidP="006835D7">
      <w:pPr>
        <w:pStyle w:val="Sansinterligne"/>
        <w:ind w:firstLine="0"/>
      </w:pPr>
    </w:p>
    <w:p w:rsidR="006835D7" w:rsidRDefault="006835D7" w:rsidP="006835D7">
      <w:pPr>
        <w:pStyle w:val="Sansinterligne"/>
        <w:ind w:firstLine="0"/>
      </w:pPr>
    </w:p>
    <w:p w:rsidR="006835D7" w:rsidRDefault="006835D7" w:rsidP="006835D7">
      <w:pPr>
        <w:pStyle w:val="Sansinterligne"/>
        <w:ind w:firstLine="0"/>
      </w:pPr>
    </w:p>
    <w:p w:rsidR="006835D7" w:rsidRDefault="006835D7" w:rsidP="006835D7">
      <w:pPr>
        <w:pStyle w:val="Sansinterligne"/>
        <w:ind w:firstLine="0"/>
      </w:pPr>
    </w:p>
    <w:p w:rsidR="006835D7" w:rsidRDefault="006835D7" w:rsidP="006835D7">
      <w:pPr>
        <w:pStyle w:val="Sansinterligne"/>
        <w:ind w:firstLine="0"/>
      </w:pPr>
      <w:r>
        <w:t>***,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ED5562">
        <w:t>proviseur</w:t>
      </w:r>
      <w:r>
        <w:t>,</w:t>
      </w:r>
    </w:p>
    <w:p w:rsidR="006835D7" w:rsidRPr="00321345" w:rsidRDefault="006835D7" w:rsidP="00321345">
      <w:pPr>
        <w:pStyle w:val="Sansinterligne"/>
        <w:ind w:firstLine="0"/>
      </w:pPr>
      <w:r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5562">
        <w:t>Éric KEISER</w:t>
      </w:r>
    </w:p>
    <w:sectPr w:rsidR="006835D7" w:rsidRPr="00321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45"/>
    <w:rsid w:val="0004684F"/>
    <w:rsid w:val="00102F48"/>
    <w:rsid w:val="0018446C"/>
    <w:rsid w:val="0022078D"/>
    <w:rsid w:val="00321345"/>
    <w:rsid w:val="0034094E"/>
    <w:rsid w:val="003B2A99"/>
    <w:rsid w:val="006835D7"/>
    <w:rsid w:val="00703261"/>
    <w:rsid w:val="00955FFE"/>
    <w:rsid w:val="009E4851"/>
    <w:rsid w:val="00A12127"/>
    <w:rsid w:val="00A406C0"/>
    <w:rsid w:val="00C94BF4"/>
    <w:rsid w:val="00DE0A82"/>
    <w:rsid w:val="00ED5562"/>
    <w:rsid w:val="00ED5DED"/>
    <w:rsid w:val="00F225BC"/>
    <w:rsid w:val="00F8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A250"/>
  <w15:docId w15:val="{65C232B4-B61E-4A20-910F-D7A63BD5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fr-F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Sansinterligne"/>
    <w:qFormat/>
    <w:rsid w:val="003213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8446C"/>
  </w:style>
  <w:style w:type="paragraph" w:customStyle="1" w:styleId="Titrenormal">
    <w:name w:val="Titre normal"/>
    <w:basedOn w:val="Normal"/>
    <w:qFormat/>
    <w:rsid w:val="0004684F"/>
    <w:pPr>
      <w:ind w:firstLine="0"/>
      <w:jc w:val="center"/>
    </w:pPr>
    <w:rPr>
      <w:b/>
    </w:rPr>
  </w:style>
  <w:style w:type="character" w:styleId="Lienhypertexte">
    <w:name w:val="Hyperlink"/>
    <w:basedOn w:val="Policepardfaut"/>
    <w:uiPriority w:val="99"/>
    <w:unhideWhenUsed/>
    <w:rsid w:val="006835D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03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ffe.ta-mayotte@juradm.fr" TargetMode="External"/><Relationship Id="rId5" Type="http://schemas.openxmlformats.org/officeDocument/2006/relationships/hyperlink" Target="mailto:mediateur@education.gouv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886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Meneldil Palantir Talmayar</dc:creator>
  <cp:lastModifiedBy>Aurelien DUPOUEY-DELEZAY</cp:lastModifiedBy>
  <cp:revision>7</cp:revision>
  <dcterms:created xsi:type="dcterms:W3CDTF">2025-10-01T08:06:00Z</dcterms:created>
  <dcterms:modified xsi:type="dcterms:W3CDTF">2025-10-06T06:37:00Z</dcterms:modified>
</cp:coreProperties>
</file>